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62B" w:rsidRDefault="0046562B" w:rsidP="0046562B">
      <w:pPr>
        <w:pStyle w:val="AppendixTitle"/>
        <w:outlineLvl w:val="1"/>
      </w:pPr>
      <w:bookmarkStart w:id="0" w:name="_Toc440372400"/>
      <w:bookmarkStart w:id="1" w:name="_GoBack"/>
      <w:bookmarkEnd w:id="1"/>
      <w:r>
        <w:t>APPENDIX ‘A’</w:t>
      </w:r>
      <w:bookmarkEnd w:id="0"/>
    </w:p>
    <w:p w:rsidR="0046562B" w:rsidRDefault="0046562B" w:rsidP="0046562B">
      <w:pPr>
        <w:pStyle w:val="Title2"/>
      </w:pPr>
      <w:r>
        <w:t>AGREED DEVIATIONS FOR ISABELLENHUETTE (D)</w:t>
      </w:r>
    </w:p>
    <w:tbl>
      <w:tblPr>
        <w:tblStyle w:val="TableGrid1"/>
        <w:tblW w:w="10631" w:type="dxa"/>
        <w:tblInd w:w="199" w:type="dxa"/>
        <w:tblLayout w:type="fixed"/>
        <w:tblCellMar>
          <w:top w:w="28" w:type="dxa"/>
          <w:left w:w="57" w:type="dxa"/>
          <w:bottom w:w="28" w:type="dxa"/>
          <w:right w:w="57" w:type="dxa"/>
        </w:tblCellMar>
        <w:tblLook w:val="0000" w:firstRow="0" w:lastRow="0" w:firstColumn="0" w:lastColumn="0" w:noHBand="0" w:noVBand="0"/>
      </w:tblPr>
      <w:tblGrid>
        <w:gridCol w:w="2835"/>
        <w:gridCol w:w="2126"/>
        <w:gridCol w:w="1417"/>
        <w:gridCol w:w="4253"/>
      </w:tblGrid>
      <w:tr w:rsidR="0046562B" w:rsidRPr="00177640" w:rsidTr="00B326D2">
        <w:trPr>
          <w:cantSplit/>
          <w:trHeight w:val="340"/>
          <w:tblHeader/>
        </w:trPr>
        <w:tc>
          <w:tcPr>
            <w:tcW w:w="2835" w:type="dxa"/>
          </w:tcPr>
          <w:p w:rsidR="0046562B" w:rsidRPr="00177640" w:rsidRDefault="0046562B" w:rsidP="00B326D2">
            <w:pPr>
              <w:pStyle w:val="Bodyjustified"/>
              <w:rPr>
                <w:color w:val="auto"/>
              </w:rPr>
            </w:pPr>
            <w:r w:rsidRPr="00177640">
              <w:rPr>
                <w:color w:val="auto"/>
              </w:rPr>
              <w:t>Items Affected</w:t>
            </w:r>
          </w:p>
        </w:tc>
        <w:tc>
          <w:tcPr>
            <w:tcW w:w="7796" w:type="dxa"/>
            <w:gridSpan w:val="3"/>
          </w:tcPr>
          <w:p w:rsidR="0046562B" w:rsidRPr="00177640" w:rsidRDefault="0046562B" w:rsidP="00B326D2">
            <w:pPr>
              <w:pStyle w:val="Bodyjustified"/>
              <w:rPr>
                <w:color w:val="auto"/>
              </w:rPr>
            </w:pPr>
            <w:r w:rsidRPr="00177640">
              <w:rPr>
                <w:color w:val="auto"/>
              </w:rPr>
              <w:t>Description of Deviations</w:t>
            </w:r>
          </w:p>
        </w:tc>
      </w:tr>
      <w:tr w:rsidR="0046562B" w:rsidRPr="00177640" w:rsidTr="00B326D2">
        <w:trPr>
          <w:trHeight w:val="283"/>
        </w:trPr>
        <w:tc>
          <w:tcPr>
            <w:tcW w:w="2835" w:type="dxa"/>
          </w:tcPr>
          <w:p w:rsidR="0046562B" w:rsidRPr="00177640" w:rsidRDefault="0046562B" w:rsidP="00B326D2">
            <w:pPr>
              <w:pStyle w:val="Bodyjustified"/>
              <w:jc w:val="left"/>
              <w:rPr>
                <w:color w:val="auto"/>
              </w:rPr>
            </w:pPr>
            <w:r w:rsidRPr="00177640">
              <w:rPr>
                <w:color w:val="auto"/>
              </w:rPr>
              <w:t xml:space="preserve">Deviations from Generic </w:t>
            </w:r>
          </w:p>
          <w:p w:rsidR="0046562B" w:rsidRPr="00177640" w:rsidRDefault="0046562B" w:rsidP="00B326D2">
            <w:pPr>
              <w:pStyle w:val="Bodyjustified"/>
              <w:jc w:val="left"/>
              <w:rPr>
                <w:color w:val="auto"/>
              </w:rPr>
            </w:pPr>
            <w:r w:rsidRPr="00177640">
              <w:rPr>
                <w:color w:val="auto"/>
              </w:rPr>
              <w:t>Specification:</w:t>
            </w:r>
          </w:p>
          <w:p w:rsidR="0046562B" w:rsidRPr="00177640" w:rsidRDefault="0046562B" w:rsidP="00B326D2">
            <w:pPr>
              <w:pStyle w:val="Bodyjustified"/>
              <w:jc w:val="left"/>
              <w:rPr>
                <w:color w:val="auto"/>
              </w:rPr>
            </w:pPr>
            <w:r w:rsidRPr="00177640">
              <w:rPr>
                <w:color w:val="auto"/>
              </w:rPr>
              <w:t>Production Control (Chart</w:t>
            </w:r>
            <w:r>
              <w:rPr>
                <w:color w:val="auto"/>
              </w:rPr>
              <w:t> </w:t>
            </w:r>
            <w:r w:rsidRPr="00177640">
              <w:rPr>
                <w:color w:val="auto"/>
              </w:rPr>
              <w:t>F2)</w:t>
            </w:r>
          </w:p>
        </w:tc>
        <w:tc>
          <w:tcPr>
            <w:tcW w:w="7796" w:type="dxa"/>
            <w:gridSpan w:val="3"/>
          </w:tcPr>
          <w:p w:rsidR="0046562B" w:rsidRPr="00177640" w:rsidRDefault="0046562B" w:rsidP="00B326D2">
            <w:pPr>
              <w:pStyle w:val="Bodyjustified"/>
              <w:jc w:val="left"/>
              <w:rPr>
                <w:color w:val="auto"/>
              </w:rPr>
            </w:pPr>
            <w:r w:rsidRPr="00177640">
              <w:rPr>
                <w:color w:val="auto"/>
              </w:rPr>
              <w:t xml:space="preserve">Para. 5.2.1, Dimension Check: </w:t>
            </w:r>
            <w:r>
              <w:rPr>
                <w:color w:val="auto"/>
              </w:rPr>
              <w:t>A</w:t>
            </w:r>
            <w:r w:rsidRPr="00177640">
              <w:rPr>
                <w:color w:val="auto"/>
              </w:rPr>
              <w:t xml:space="preserve"> 100% inspection may be performed.</w:t>
            </w:r>
          </w:p>
        </w:tc>
      </w:tr>
      <w:tr w:rsidR="0046562B" w:rsidRPr="00177640" w:rsidTr="00B326D2">
        <w:trPr>
          <w:trHeight w:val="283"/>
        </w:trPr>
        <w:tc>
          <w:tcPr>
            <w:tcW w:w="2835" w:type="dxa"/>
            <w:vMerge w:val="restart"/>
          </w:tcPr>
          <w:p w:rsidR="0046562B" w:rsidRPr="001946B8" w:rsidRDefault="0046562B" w:rsidP="00B326D2">
            <w:pPr>
              <w:pStyle w:val="Bodyjustified"/>
              <w:jc w:val="left"/>
              <w:rPr>
                <w:color w:val="auto"/>
                <w:highlight w:val="yellow"/>
              </w:rPr>
            </w:pPr>
            <w:r w:rsidRPr="001946B8">
              <w:rPr>
                <w:color w:val="auto"/>
                <w:highlight w:val="yellow"/>
              </w:rPr>
              <w:t xml:space="preserve">Deviations from Generic </w:t>
            </w:r>
          </w:p>
          <w:p w:rsidR="0046562B" w:rsidRPr="001946B8" w:rsidRDefault="0046562B" w:rsidP="00B326D2">
            <w:pPr>
              <w:pStyle w:val="Bodyjustified"/>
              <w:jc w:val="left"/>
              <w:rPr>
                <w:color w:val="auto"/>
                <w:highlight w:val="yellow"/>
              </w:rPr>
            </w:pPr>
            <w:r w:rsidRPr="001946B8">
              <w:rPr>
                <w:color w:val="auto"/>
                <w:highlight w:val="yellow"/>
              </w:rPr>
              <w:t>Specification:</w:t>
            </w:r>
          </w:p>
          <w:p w:rsidR="0046562B" w:rsidRPr="001946B8" w:rsidRDefault="0046562B" w:rsidP="00B326D2">
            <w:pPr>
              <w:pStyle w:val="Bodyjustified"/>
              <w:jc w:val="left"/>
              <w:rPr>
                <w:color w:val="auto"/>
                <w:highlight w:val="yellow"/>
              </w:rPr>
            </w:pPr>
            <w:r w:rsidRPr="001946B8">
              <w:rPr>
                <w:color w:val="auto"/>
                <w:highlight w:val="yellow"/>
              </w:rPr>
              <w:t>Screening Tests (Chart F3)</w:t>
            </w:r>
          </w:p>
        </w:tc>
        <w:tc>
          <w:tcPr>
            <w:tcW w:w="7796" w:type="dxa"/>
            <w:gridSpan w:val="3"/>
          </w:tcPr>
          <w:p w:rsidR="0046562B" w:rsidRPr="001946B8" w:rsidRDefault="0046562B" w:rsidP="00B326D2">
            <w:pPr>
              <w:pStyle w:val="Bodyjustified"/>
              <w:jc w:val="left"/>
              <w:rPr>
                <w:color w:val="auto"/>
                <w:highlight w:val="yellow"/>
              </w:rPr>
            </w:pPr>
            <w:r w:rsidRPr="001946B8">
              <w:rPr>
                <w:color w:val="auto"/>
                <w:highlight w:val="yellow"/>
              </w:rPr>
              <w:t xml:space="preserve">Para. </w:t>
            </w:r>
            <w:proofErr w:type="gramStart"/>
            <w:r w:rsidRPr="001946B8">
              <w:rPr>
                <w:color w:val="auto"/>
                <w:highlight w:val="yellow"/>
              </w:rPr>
              <w:t>8.1,</w:t>
            </w:r>
            <w:proofErr w:type="gramEnd"/>
            <w:r w:rsidRPr="001946B8">
              <w:rPr>
                <w:color w:val="auto"/>
                <w:highlight w:val="yellow"/>
              </w:rPr>
              <w:t xml:space="preserve"> Overload: For Variant 02, any holes or cracks identified during visual examination that do not fail the criteria of Para. 8.6, as below, shall not be considered as evidence of damage.</w:t>
            </w:r>
          </w:p>
        </w:tc>
      </w:tr>
      <w:tr w:rsidR="0046562B" w:rsidRPr="00177640" w:rsidTr="00B326D2">
        <w:trPr>
          <w:trHeight w:val="283"/>
        </w:trPr>
        <w:tc>
          <w:tcPr>
            <w:tcW w:w="2835" w:type="dxa"/>
            <w:vMerge/>
          </w:tcPr>
          <w:p w:rsidR="0046562B" w:rsidRPr="001946B8" w:rsidRDefault="0046562B" w:rsidP="00B326D2">
            <w:pPr>
              <w:pStyle w:val="Bodyjustified"/>
              <w:jc w:val="left"/>
              <w:rPr>
                <w:color w:val="auto"/>
                <w:highlight w:val="yellow"/>
              </w:rPr>
            </w:pPr>
          </w:p>
        </w:tc>
        <w:tc>
          <w:tcPr>
            <w:tcW w:w="7796" w:type="dxa"/>
            <w:gridSpan w:val="3"/>
          </w:tcPr>
          <w:p w:rsidR="0046562B" w:rsidRPr="001946B8" w:rsidRDefault="0046562B" w:rsidP="00B326D2">
            <w:pPr>
              <w:pStyle w:val="Bodyjustified"/>
              <w:spacing w:after="40"/>
              <w:jc w:val="left"/>
              <w:rPr>
                <w:color w:val="auto"/>
                <w:highlight w:val="yellow"/>
              </w:rPr>
            </w:pPr>
            <w:r w:rsidRPr="001946B8">
              <w:rPr>
                <w:color w:val="auto"/>
                <w:highlight w:val="yellow"/>
              </w:rPr>
              <w:t>Para. 8.6, External Visual Inspection: For Variant 02, the specific requirements of ESCC Basic Specification No. 2054000 shall apply with the following deviations:</w:t>
            </w:r>
          </w:p>
          <w:p w:rsidR="0046562B" w:rsidRPr="001946B8" w:rsidRDefault="0046562B" w:rsidP="0046562B">
            <w:pPr>
              <w:pStyle w:val="Bodyjustified"/>
              <w:numPr>
                <w:ilvl w:val="0"/>
                <w:numId w:val="1"/>
              </w:numPr>
              <w:spacing w:after="40"/>
              <w:ind w:left="360"/>
              <w:jc w:val="left"/>
              <w:rPr>
                <w:color w:val="auto"/>
                <w:highlight w:val="yellow"/>
              </w:rPr>
            </w:pPr>
            <w:r w:rsidRPr="001946B8">
              <w:rPr>
                <w:color w:val="auto"/>
                <w:highlight w:val="yellow"/>
              </w:rPr>
              <w:t xml:space="preserve">Para. 3.1, Magnification: All items shall be examined with a stereoscopic microscope with a magnification of between 5 and 20 </w:t>
            </w:r>
            <w:proofErr w:type="gramStart"/>
            <w:r w:rsidRPr="001946B8">
              <w:rPr>
                <w:color w:val="auto"/>
                <w:highlight w:val="yellow"/>
              </w:rPr>
              <w:t>power</w:t>
            </w:r>
            <w:proofErr w:type="gramEnd"/>
            <w:r w:rsidRPr="001946B8">
              <w:rPr>
                <w:color w:val="auto"/>
                <w:highlight w:val="yellow"/>
              </w:rPr>
              <w:t xml:space="preserve"> (</w:t>
            </w:r>
            <w:r w:rsidR="001946B8">
              <w:rPr>
                <w:color w:val="auto"/>
                <w:highlight w:val="yellow"/>
              </w:rPr>
              <w:t>x</w:t>
            </w:r>
            <w:r w:rsidRPr="001946B8">
              <w:rPr>
                <w:color w:val="auto"/>
                <w:highlight w:val="yellow"/>
              </w:rPr>
              <w:t xml:space="preserve">5 to </w:t>
            </w:r>
            <w:r w:rsidR="001946B8">
              <w:rPr>
                <w:color w:val="auto"/>
                <w:highlight w:val="yellow"/>
              </w:rPr>
              <w:t>x</w:t>
            </w:r>
            <w:r w:rsidRPr="001946B8">
              <w:rPr>
                <w:color w:val="auto"/>
                <w:highlight w:val="yellow"/>
              </w:rPr>
              <w:t>20).</w:t>
            </w:r>
          </w:p>
          <w:p w:rsidR="0046562B" w:rsidRPr="001946B8" w:rsidRDefault="0046562B" w:rsidP="0046562B">
            <w:pPr>
              <w:pStyle w:val="Bodyjustified"/>
              <w:numPr>
                <w:ilvl w:val="0"/>
                <w:numId w:val="1"/>
              </w:numPr>
              <w:spacing w:after="40"/>
              <w:ind w:left="360"/>
              <w:jc w:val="left"/>
              <w:rPr>
                <w:color w:val="auto"/>
                <w:highlight w:val="yellow"/>
              </w:rPr>
            </w:pPr>
            <w:r w:rsidRPr="001946B8">
              <w:rPr>
                <w:color w:val="auto"/>
                <w:highlight w:val="yellow"/>
              </w:rPr>
              <w:t>Paras. 4.4(b) &amp; 4.4(c): These reject criteria are not applicable.</w:t>
            </w:r>
          </w:p>
          <w:p w:rsidR="0046562B" w:rsidRPr="001946B8" w:rsidRDefault="0046562B" w:rsidP="0046562B">
            <w:pPr>
              <w:pStyle w:val="Bodyjustified"/>
              <w:numPr>
                <w:ilvl w:val="0"/>
                <w:numId w:val="1"/>
              </w:numPr>
              <w:spacing w:after="20"/>
              <w:ind w:left="360"/>
              <w:jc w:val="left"/>
              <w:rPr>
                <w:color w:val="auto"/>
                <w:highlight w:val="yellow"/>
              </w:rPr>
            </w:pPr>
            <w:r w:rsidRPr="001946B8">
              <w:rPr>
                <w:color w:val="auto"/>
                <w:highlight w:val="yellow"/>
              </w:rPr>
              <w:t>Add new reject criteria to Para. 4.4 as follows:</w:t>
            </w:r>
          </w:p>
          <w:p w:rsidR="0046562B" w:rsidRPr="001946B8" w:rsidRDefault="0046562B" w:rsidP="0046562B">
            <w:pPr>
              <w:pStyle w:val="Bodyjustified"/>
              <w:numPr>
                <w:ilvl w:val="0"/>
                <w:numId w:val="2"/>
              </w:numPr>
              <w:jc w:val="left"/>
              <w:rPr>
                <w:highlight w:val="yellow"/>
              </w:rPr>
            </w:pPr>
            <w:r w:rsidRPr="001946B8">
              <w:rPr>
                <w:highlight w:val="yellow"/>
                <w:lang w:val="en-GB"/>
              </w:rPr>
              <w:t>Moulding</w:t>
            </w:r>
            <w:r w:rsidRPr="001946B8">
              <w:rPr>
                <w:highlight w:val="yellow"/>
              </w:rPr>
              <w:t xml:space="preserve"> material showing holes or cracks whose total surface area exceeds 3% of the total surface area of the </w:t>
            </w:r>
            <w:r w:rsidRPr="001946B8">
              <w:rPr>
                <w:highlight w:val="yellow"/>
                <w:lang w:val="en-GB"/>
              </w:rPr>
              <w:t>moulding</w:t>
            </w:r>
            <w:r w:rsidRPr="001946B8">
              <w:rPr>
                <w:highlight w:val="yellow"/>
              </w:rPr>
              <w:t xml:space="preserve"> or coating material.</w:t>
            </w:r>
          </w:p>
          <w:p w:rsidR="0046562B" w:rsidRPr="001946B8" w:rsidRDefault="0046562B" w:rsidP="0046562B">
            <w:pPr>
              <w:pStyle w:val="Bodyjustified"/>
              <w:numPr>
                <w:ilvl w:val="0"/>
                <w:numId w:val="2"/>
              </w:numPr>
              <w:jc w:val="left"/>
              <w:rPr>
                <w:highlight w:val="yellow"/>
              </w:rPr>
            </w:pPr>
            <w:r w:rsidRPr="001946B8">
              <w:rPr>
                <w:highlight w:val="yellow"/>
              </w:rPr>
              <w:t xml:space="preserve">Any holes or cracks in the </w:t>
            </w:r>
            <w:r w:rsidRPr="001946B8">
              <w:rPr>
                <w:highlight w:val="yellow"/>
                <w:lang w:val="en-GB"/>
              </w:rPr>
              <w:t>moulding</w:t>
            </w:r>
            <w:r w:rsidRPr="001946B8">
              <w:rPr>
                <w:highlight w:val="yellow"/>
              </w:rPr>
              <w:t xml:space="preserve"> material that bridge the space between any 2 terminals.</w:t>
            </w:r>
          </w:p>
        </w:tc>
      </w:tr>
      <w:tr w:rsidR="0046562B" w:rsidRPr="00177640" w:rsidTr="00B326D2">
        <w:trPr>
          <w:trHeight w:val="283"/>
        </w:trPr>
        <w:tc>
          <w:tcPr>
            <w:tcW w:w="2835" w:type="dxa"/>
            <w:vMerge w:val="restart"/>
          </w:tcPr>
          <w:p w:rsidR="0046562B" w:rsidRPr="00177640" w:rsidRDefault="0046562B" w:rsidP="00B326D2">
            <w:pPr>
              <w:pStyle w:val="Bodyjustified"/>
              <w:jc w:val="left"/>
              <w:rPr>
                <w:color w:val="auto"/>
              </w:rPr>
            </w:pPr>
            <w:r w:rsidRPr="00177640">
              <w:rPr>
                <w:color w:val="auto"/>
              </w:rPr>
              <w:t xml:space="preserve">Deviations from Generic </w:t>
            </w:r>
          </w:p>
          <w:p w:rsidR="0046562B" w:rsidRPr="00177640" w:rsidRDefault="0046562B" w:rsidP="00B326D2">
            <w:pPr>
              <w:pStyle w:val="Bodyjustified"/>
              <w:jc w:val="left"/>
              <w:rPr>
                <w:color w:val="auto"/>
              </w:rPr>
            </w:pPr>
            <w:r w:rsidRPr="00177640">
              <w:rPr>
                <w:color w:val="auto"/>
              </w:rPr>
              <w:t>Specification:</w:t>
            </w:r>
          </w:p>
          <w:p w:rsidR="0046562B" w:rsidRPr="00177640" w:rsidRDefault="0046562B" w:rsidP="00B326D2">
            <w:pPr>
              <w:pStyle w:val="Bodyjustified"/>
              <w:jc w:val="left"/>
              <w:rPr>
                <w:color w:val="auto"/>
              </w:rPr>
            </w:pPr>
            <w:r w:rsidRPr="00177640">
              <w:rPr>
                <w:color w:val="auto"/>
              </w:rPr>
              <w:t>Qualification and Periodic Tests (Chart F4)</w:t>
            </w:r>
          </w:p>
        </w:tc>
        <w:tc>
          <w:tcPr>
            <w:tcW w:w="7796" w:type="dxa"/>
            <w:gridSpan w:val="3"/>
          </w:tcPr>
          <w:p w:rsidR="0046562B" w:rsidRPr="00177640" w:rsidRDefault="0046562B" w:rsidP="00B326D2">
            <w:pPr>
              <w:pStyle w:val="Bodyjustified"/>
              <w:jc w:val="left"/>
              <w:rPr>
                <w:color w:val="auto"/>
              </w:rPr>
            </w:pPr>
            <w:r w:rsidRPr="001946B8">
              <w:rPr>
                <w:color w:val="auto"/>
                <w:highlight w:val="yellow"/>
              </w:rPr>
              <w:t>Para. 8.6, External Visual Inspection: As for Screening Tests above.</w:t>
            </w:r>
          </w:p>
        </w:tc>
      </w:tr>
      <w:tr w:rsidR="0046562B" w:rsidRPr="00177640" w:rsidTr="00B326D2">
        <w:trPr>
          <w:trHeight w:val="283"/>
        </w:trPr>
        <w:tc>
          <w:tcPr>
            <w:tcW w:w="2835" w:type="dxa"/>
            <w:vMerge/>
          </w:tcPr>
          <w:p w:rsidR="0046562B" w:rsidRPr="00177640" w:rsidRDefault="0046562B" w:rsidP="00B326D2">
            <w:pPr>
              <w:pStyle w:val="Bodyjustified"/>
              <w:jc w:val="left"/>
              <w:rPr>
                <w:color w:val="auto"/>
              </w:rPr>
            </w:pPr>
          </w:p>
        </w:tc>
        <w:tc>
          <w:tcPr>
            <w:tcW w:w="7796" w:type="dxa"/>
            <w:gridSpan w:val="3"/>
          </w:tcPr>
          <w:p w:rsidR="0046562B" w:rsidRPr="001946B8" w:rsidRDefault="0046562B" w:rsidP="00B326D2">
            <w:pPr>
              <w:pStyle w:val="Bodyjustified"/>
              <w:jc w:val="left"/>
              <w:rPr>
                <w:rFonts w:cs="Arial"/>
                <w:color w:val="auto"/>
                <w:highlight w:val="yellow"/>
              </w:rPr>
            </w:pPr>
            <w:r w:rsidRPr="001946B8">
              <w:rPr>
                <w:color w:val="auto"/>
                <w:highlight w:val="yellow"/>
              </w:rPr>
              <w:t xml:space="preserve">Paras. 8.8, 8.9, 8.11 &amp; 8.12, </w:t>
            </w:r>
            <w:r w:rsidRPr="001946B8">
              <w:rPr>
                <w:rFonts w:cs="Arial"/>
                <w:color w:val="auto"/>
                <w:highlight w:val="yellow"/>
              </w:rPr>
              <w:t>Rapid Change of Temperature, Vibration, Robustness of Terminations &amp; Resistance to Soldering Heat:</w:t>
            </w:r>
          </w:p>
          <w:p w:rsidR="0046562B" w:rsidRPr="00177640" w:rsidRDefault="0046562B" w:rsidP="00B326D2">
            <w:pPr>
              <w:pStyle w:val="Bodyjustified"/>
              <w:jc w:val="left"/>
              <w:rPr>
                <w:color w:val="auto"/>
              </w:rPr>
            </w:pPr>
            <w:r w:rsidRPr="001946B8">
              <w:rPr>
                <w:color w:val="auto"/>
                <w:highlight w:val="yellow"/>
              </w:rPr>
              <w:t>For Variant 02, any holes or cracks identified during visual examination that do not fail the criteria of Para. 8.6, as above, shall not be considered as evidence of damage.</w:t>
            </w:r>
          </w:p>
        </w:tc>
      </w:tr>
      <w:tr w:rsidR="0046562B" w:rsidRPr="00177640" w:rsidTr="00B326D2">
        <w:trPr>
          <w:trHeight w:val="283"/>
        </w:trPr>
        <w:tc>
          <w:tcPr>
            <w:tcW w:w="2835" w:type="dxa"/>
            <w:vMerge/>
          </w:tcPr>
          <w:p w:rsidR="0046562B" w:rsidRPr="00177640" w:rsidRDefault="0046562B" w:rsidP="00B326D2">
            <w:pPr>
              <w:pStyle w:val="Bodyjustified"/>
              <w:jc w:val="left"/>
              <w:rPr>
                <w:color w:val="auto"/>
              </w:rPr>
            </w:pPr>
          </w:p>
        </w:tc>
        <w:tc>
          <w:tcPr>
            <w:tcW w:w="7796" w:type="dxa"/>
            <w:gridSpan w:val="3"/>
          </w:tcPr>
          <w:p w:rsidR="0046562B" w:rsidRPr="00177640" w:rsidRDefault="0046562B" w:rsidP="00B326D2">
            <w:pPr>
              <w:pStyle w:val="Bodyjustified"/>
              <w:jc w:val="left"/>
              <w:rPr>
                <w:color w:val="auto"/>
              </w:rPr>
            </w:pPr>
            <w:r w:rsidRPr="00177640">
              <w:rPr>
                <w:color w:val="auto"/>
              </w:rPr>
              <w:t xml:space="preserve">Para. 8.8, Rapid Change of Temperature: a high temperature extreme of </w:t>
            </w:r>
            <w:proofErr w:type="spellStart"/>
            <w:r w:rsidRPr="00177640">
              <w:rPr>
                <w:color w:val="auto"/>
              </w:rPr>
              <w:t>T</w:t>
            </w:r>
            <w:r w:rsidRPr="00177640">
              <w:rPr>
                <w:color w:val="auto"/>
                <w:vertAlign w:val="subscript"/>
              </w:rPr>
              <w:t>amb</w:t>
            </w:r>
            <w:proofErr w:type="spellEnd"/>
            <w:r w:rsidRPr="00177640">
              <w:rPr>
                <w:color w:val="auto"/>
                <w:vertAlign w:val="subscript"/>
              </w:rPr>
              <w:t> </w:t>
            </w:r>
            <w:r w:rsidRPr="00177640">
              <w:rPr>
                <w:color w:val="auto"/>
              </w:rPr>
              <w:t xml:space="preserve">= +150 (+0 </w:t>
            </w:r>
            <w:r w:rsidRPr="00177640">
              <w:rPr>
                <w:color w:val="auto"/>
              </w:rPr>
              <w:noBreakHyphen/>
              <w:t>3</w:t>
            </w:r>
            <w:proofErr w:type="gramStart"/>
            <w:r w:rsidRPr="00177640">
              <w:rPr>
                <w:color w:val="auto"/>
              </w:rPr>
              <w:t>)</w:t>
            </w:r>
            <w:r w:rsidRPr="00177640">
              <w:rPr>
                <w:rFonts w:cs="Arial"/>
                <w:color w:val="auto"/>
              </w:rPr>
              <w:t>°</w:t>
            </w:r>
            <w:proofErr w:type="gramEnd"/>
            <w:r w:rsidRPr="00177640">
              <w:rPr>
                <w:color w:val="auto"/>
              </w:rPr>
              <w:t>C may be applied during testing.</w:t>
            </w:r>
          </w:p>
        </w:tc>
      </w:tr>
      <w:tr w:rsidR="0046562B" w:rsidRPr="00177640" w:rsidTr="00B326D2">
        <w:trPr>
          <w:trHeight w:val="283"/>
        </w:trPr>
        <w:tc>
          <w:tcPr>
            <w:tcW w:w="2835" w:type="dxa"/>
            <w:vMerge/>
          </w:tcPr>
          <w:p w:rsidR="0046562B" w:rsidRPr="00177640" w:rsidRDefault="0046562B" w:rsidP="00B326D2">
            <w:pPr>
              <w:pStyle w:val="Bodyjustified"/>
              <w:jc w:val="left"/>
              <w:rPr>
                <w:color w:val="auto"/>
              </w:rPr>
            </w:pPr>
          </w:p>
        </w:tc>
        <w:tc>
          <w:tcPr>
            <w:tcW w:w="7796" w:type="dxa"/>
            <w:gridSpan w:val="3"/>
          </w:tcPr>
          <w:p w:rsidR="0046562B" w:rsidRPr="00177640" w:rsidRDefault="0046562B" w:rsidP="00B326D2">
            <w:pPr>
              <w:pStyle w:val="Bodyjustified"/>
              <w:spacing w:after="40"/>
              <w:jc w:val="left"/>
              <w:rPr>
                <w:color w:val="auto"/>
              </w:rPr>
            </w:pPr>
            <w:r w:rsidRPr="00177640">
              <w:rPr>
                <w:color w:val="auto"/>
              </w:rPr>
              <w:t>Para. 8.10, Climatic Sequence:</w:t>
            </w:r>
          </w:p>
          <w:p w:rsidR="0046562B" w:rsidRPr="00177640" w:rsidRDefault="0046562B" w:rsidP="0046562B">
            <w:pPr>
              <w:pStyle w:val="Bodyjustified"/>
              <w:numPr>
                <w:ilvl w:val="0"/>
                <w:numId w:val="1"/>
              </w:numPr>
              <w:spacing w:after="40"/>
              <w:ind w:left="360"/>
              <w:jc w:val="left"/>
              <w:rPr>
                <w:color w:val="auto"/>
              </w:rPr>
            </w:pPr>
            <w:r w:rsidRPr="00177640">
              <w:rPr>
                <w:color w:val="auto"/>
              </w:rPr>
              <w:t>Para. 8.10.5, Low Air Pressure: Not applicable.</w:t>
            </w:r>
          </w:p>
          <w:p w:rsidR="0046562B" w:rsidRPr="00177640" w:rsidRDefault="0046562B" w:rsidP="0046562B">
            <w:pPr>
              <w:pStyle w:val="Bodyjustified"/>
              <w:numPr>
                <w:ilvl w:val="0"/>
                <w:numId w:val="1"/>
              </w:numPr>
              <w:spacing w:after="40"/>
              <w:ind w:left="360"/>
              <w:jc w:val="left"/>
              <w:rPr>
                <w:color w:val="auto"/>
              </w:rPr>
            </w:pPr>
            <w:r w:rsidRPr="00177640">
              <w:rPr>
                <w:color w:val="auto"/>
              </w:rPr>
              <w:t>Para. 8.10.7, DC Load: Not applicable.</w:t>
            </w:r>
          </w:p>
        </w:tc>
      </w:tr>
      <w:tr w:rsidR="0046562B" w:rsidRPr="00177640" w:rsidTr="00B326D2">
        <w:trPr>
          <w:trHeight w:val="283"/>
        </w:trPr>
        <w:tc>
          <w:tcPr>
            <w:tcW w:w="2835" w:type="dxa"/>
            <w:vMerge/>
          </w:tcPr>
          <w:p w:rsidR="0046562B" w:rsidRPr="00177640" w:rsidRDefault="0046562B" w:rsidP="00B326D2">
            <w:pPr>
              <w:pStyle w:val="Bodyjustified"/>
              <w:jc w:val="left"/>
              <w:rPr>
                <w:rFonts w:ascii="Courier" w:hAnsi="Courier"/>
                <w:color w:val="auto"/>
              </w:rPr>
            </w:pPr>
          </w:p>
        </w:tc>
        <w:tc>
          <w:tcPr>
            <w:tcW w:w="7796" w:type="dxa"/>
            <w:gridSpan w:val="3"/>
            <w:tcBorders>
              <w:bottom w:val="single" w:sz="4" w:space="0" w:color="auto"/>
            </w:tcBorders>
          </w:tcPr>
          <w:p w:rsidR="0046562B" w:rsidRPr="00177640" w:rsidRDefault="0046562B" w:rsidP="00B326D2">
            <w:pPr>
              <w:pStyle w:val="Bodyjustified"/>
              <w:jc w:val="left"/>
              <w:rPr>
                <w:color w:val="auto"/>
              </w:rPr>
            </w:pPr>
            <w:r w:rsidRPr="00177640">
              <w:rPr>
                <w:color w:val="auto"/>
              </w:rPr>
              <w:t>Para. 8.15, Permanence of Marking: Not applicable.</w:t>
            </w:r>
          </w:p>
        </w:tc>
      </w:tr>
      <w:tr w:rsidR="0046562B" w:rsidRPr="00177640" w:rsidTr="00B326D2">
        <w:trPr>
          <w:trHeight w:val="283"/>
        </w:trPr>
        <w:tc>
          <w:tcPr>
            <w:tcW w:w="2835" w:type="dxa"/>
            <w:vMerge w:val="restart"/>
          </w:tcPr>
          <w:p w:rsidR="0046562B" w:rsidRPr="00177640" w:rsidRDefault="0046562B" w:rsidP="00B326D2">
            <w:pPr>
              <w:pStyle w:val="Bodyjustified"/>
              <w:jc w:val="left"/>
              <w:rPr>
                <w:color w:val="auto"/>
              </w:rPr>
            </w:pPr>
            <w:r w:rsidRPr="00177640">
              <w:rPr>
                <w:color w:val="auto"/>
              </w:rPr>
              <w:t>Resistance Value</w:t>
            </w:r>
          </w:p>
          <w:p w:rsidR="0046562B" w:rsidRPr="00177640" w:rsidRDefault="0046562B" w:rsidP="00B326D2">
            <w:pPr>
              <w:pStyle w:val="Bodyjustified"/>
              <w:jc w:val="left"/>
              <w:rPr>
                <w:color w:val="auto"/>
              </w:rPr>
            </w:pPr>
            <w:r w:rsidRPr="00177640">
              <w:rPr>
                <w:color w:val="auto"/>
              </w:rPr>
              <w:t>Characteristic Code</w:t>
            </w:r>
          </w:p>
        </w:tc>
        <w:tc>
          <w:tcPr>
            <w:tcW w:w="7796" w:type="dxa"/>
            <w:gridSpan w:val="3"/>
            <w:tcBorders>
              <w:bottom w:val="nil"/>
            </w:tcBorders>
          </w:tcPr>
          <w:p w:rsidR="0046562B" w:rsidRPr="00177640" w:rsidRDefault="0046562B" w:rsidP="00B326D2">
            <w:pPr>
              <w:pStyle w:val="Bodyjustified"/>
              <w:spacing w:after="40"/>
              <w:jc w:val="left"/>
              <w:rPr>
                <w:color w:val="auto"/>
              </w:rPr>
            </w:pPr>
            <w:r w:rsidRPr="00177640">
              <w:rPr>
                <w:color w:val="auto"/>
              </w:rPr>
              <w:t>Resistance Value shall be expressed by means of the following codes within the ESCC Component Number. The unit quantity shall be ohm (</w:t>
            </w:r>
            <w:r w:rsidRPr="00177640">
              <w:rPr>
                <w:rFonts w:ascii="Symbol" w:hAnsi="Symbol" w:cs="Symbol"/>
                <w:color w:val="auto"/>
              </w:rPr>
              <w:t></w:t>
            </w:r>
            <w:r w:rsidRPr="00177640">
              <w:rPr>
                <w:color w:val="auto"/>
              </w:rPr>
              <w:t>):</w:t>
            </w:r>
          </w:p>
        </w:tc>
      </w:tr>
      <w:tr w:rsidR="0046562B" w:rsidRPr="00177640" w:rsidTr="00B326D2">
        <w:trPr>
          <w:trHeight w:val="227"/>
        </w:trPr>
        <w:tc>
          <w:tcPr>
            <w:tcW w:w="2835" w:type="dxa"/>
            <w:vMerge/>
          </w:tcPr>
          <w:p w:rsidR="0046562B" w:rsidRPr="00177640" w:rsidRDefault="0046562B" w:rsidP="00B326D2">
            <w:pPr>
              <w:pStyle w:val="Bodyjustified"/>
              <w:jc w:val="left"/>
              <w:rPr>
                <w:rFonts w:ascii="Courier" w:hAnsi="Courier"/>
                <w:color w:val="auto"/>
              </w:rPr>
            </w:pPr>
          </w:p>
        </w:tc>
        <w:tc>
          <w:tcPr>
            <w:tcW w:w="2126" w:type="dxa"/>
            <w:tcBorders>
              <w:top w:val="single" w:sz="4" w:space="0" w:color="auto"/>
            </w:tcBorders>
          </w:tcPr>
          <w:p w:rsidR="0046562B" w:rsidRPr="00177640" w:rsidRDefault="0046562B" w:rsidP="00B326D2">
            <w:pPr>
              <w:pStyle w:val="Bodyjustified"/>
              <w:rPr>
                <w:color w:val="auto"/>
              </w:rPr>
            </w:pPr>
            <w:r w:rsidRPr="00177640">
              <w:rPr>
                <w:color w:val="auto"/>
              </w:rPr>
              <w:t>Resistance Value (</w:t>
            </w:r>
            <w:r w:rsidRPr="00177640">
              <w:rPr>
                <w:rFonts w:ascii="Symbol" w:hAnsi="Symbol" w:cs="Symbol"/>
                <w:color w:val="auto"/>
              </w:rPr>
              <w:t></w:t>
            </w:r>
            <w:r w:rsidRPr="00177640">
              <w:rPr>
                <w:color w:val="auto"/>
              </w:rPr>
              <w:t>)</w:t>
            </w:r>
          </w:p>
        </w:tc>
        <w:tc>
          <w:tcPr>
            <w:tcW w:w="1417" w:type="dxa"/>
            <w:tcBorders>
              <w:top w:val="single" w:sz="4" w:space="0" w:color="auto"/>
            </w:tcBorders>
          </w:tcPr>
          <w:p w:rsidR="0046562B" w:rsidRPr="00177640" w:rsidRDefault="0046562B" w:rsidP="00B326D2">
            <w:pPr>
              <w:pStyle w:val="Bodyjustified"/>
              <w:rPr>
                <w:color w:val="auto"/>
              </w:rPr>
            </w:pPr>
            <w:r w:rsidRPr="00177640">
              <w:rPr>
                <w:color w:val="auto"/>
              </w:rPr>
              <w:t>Code</w:t>
            </w:r>
          </w:p>
        </w:tc>
        <w:tc>
          <w:tcPr>
            <w:tcW w:w="4253" w:type="dxa"/>
            <w:tcBorders>
              <w:top w:val="nil"/>
              <w:bottom w:val="nil"/>
            </w:tcBorders>
          </w:tcPr>
          <w:p w:rsidR="0046562B" w:rsidRPr="00177640" w:rsidRDefault="0046562B" w:rsidP="00B326D2">
            <w:pPr>
              <w:pStyle w:val="Bodyjustified"/>
              <w:jc w:val="left"/>
              <w:rPr>
                <w:color w:val="auto"/>
              </w:rPr>
            </w:pPr>
          </w:p>
        </w:tc>
      </w:tr>
      <w:tr w:rsidR="0046562B" w:rsidRPr="00177640" w:rsidTr="00B326D2">
        <w:trPr>
          <w:trHeight w:val="227"/>
        </w:trPr>
        <w:tc>
          <w:tcPr>
            <w:tcW w:w="2835" w:type="dxa"/>
            <w:vMerge/>
          </w:tcPr>
          <w:p w:rsidR="0046562B" w:rsidRPr="00177640" w:rsidRDefault="0046562B" w:rsidP="00B326D2">
            <w:pPr>
              <w:pStyle w:val="Bodyjustified"/>
              <w:jc w:val="left"/>
              <w:rPr>
                <w:rFonts w:ascii="Courier" w:hAnsi="Courier"/>
                <w:color w:val="auto"/>
              </w:rPr>
            </w:pPr>
          </w:p>
        </w:tc>
        <w:tc>
          <w:tcPr>
            <w:tcW w:w="2126" w:type="dxa"/>
          </w:tcPr>
          <w:p w:rsidR="0046562B" w:rsidRPr="00177640" w:rsidRDefault="0046562B" w:rsidP="00B326D2">
            <w:pPr>
              <w:pStyle w:val="Bodyjustified"/>
              <w:rPr>
                <w:color w:val="auto"/>
              </w:rPr>
            </w:pPr>
            <w:r w:rsidRPr="00177640">
              <w:rPr>
                <w:color w:val="auto"/>
              </w:rPr>
              <w:t>0.00XX</w:t>
            </w:r>
          </w:p>
        </w:tc>
        <w:tc>
          <w:tcPr>
            <w:tcW w:w="1417" w:type="dxa"/>
          </w:tcPr>
          <w:p w:rsidR="0046562B" w:rsidRPr="00177640" w:rsidRDefault="0046562B" w:rsidP="00B326D2">
            <w:pPr>
              <w:pStyle w:val="Bodyjustified"/>
              <w:rPr>
                <w:rFonts w:ascii="Courier" w:hAnsi="Courier"/>
                <w:color w:val="auto"/>
              </w:rPr>
            </w:pPr>
            <w:r w:rsidRPr="00177640">
              <w:rPr>
                <w:color w:val="auto"/>
              </w:rPr>
              <w:t>R00XX</w:t>
            </w:r>
          </w:p>
        </w:tc>
        <w:tc>
          <w:tcPr>
            <w:tcW w:w="4253" w:type="dxa"/>
            <w:tcBorders>
              <w:top w:val="nil"/>
              <w:bottom w:val="nil"/>
            </w:tcBorders>
          </w:tcPr>
          <w:p w:rsidR="0046562B" w:rsidRPr="00177640" w:rsidRDefault="0046562B" w:rsidP="00B326D2">
            <w:pPr>
              <w:pStyle w:val="Bodyjustified"/>
              <w:jc w:val="left"/>
              <w:rPr>
                <w:rFonts w:ascii="Courier" w:hAnsi="Courier"/>
                <w:color w:val="auto"/>
              </w:rPr>
            </w:pPr>
          </w:p>
        </w:tc>
      </w:tr>
      <w:tr w:rsidR="0046562B" w:rsidRPr="00177640" w:rsidTr="00B326D2">
        <w:trPr>
          <w:trHeight w:val="227"/>
        </w:trPr>
        <w:tc>
          <w:tcPr>
            <w:tcW w:w="2835" w:type="dxa"/>
            <w:vMerge/>
          </w:tcPr>
          <w:p w:rsidR="0046562B" w:rsidRPr="00177640" w:rsidRDefault="0046562B" w:rsidP="00B326D2">
            <w:pPr>
              <w:pStyle w:val="Bodyjustified"/>
              <w:jc w:val="left"/>
              <w:rPr>
                <w:rFonts w:ascii="Courier" w:hAnsi="Courier"/>
                <w:color w:val="auto"/>
              </w:rPr>
            </w:pPr>
          </w:p>
        </w:tc>
        <w:tc>
          <w:tcPr>
            <w:tcW w:w="2126" w:type="dxa"/>
          </w:tcPr>
          <w:p w:rsidR="0046562B" w:rsidRPr="00177640" w:rsidRDefault="0046562B" w:rsidP="00B326D2">
            <w:pPr>
              <w:pStyle w:val="Bodyjustified"/>
              <w:rPr>
                <w:color w:val="auto"/>
              </w:rPr>
            </w:pPr>
            <w:r w:rsidRPr="00177640">
              <w:rPr>
                <w:color w:val="auto"/>
              </w:rPr>
              <w:t>0.0XX</w:t>
            </w:r>
          </w:p>
        </w:tc>
        <w:tc>
          <w:tcPr>
            <w:tcW w:w="1417" w:type="dxa"/>
          </w:tcPr>
          <w:p w:rsidR="0046562B" w:rsidRPr="00177640" w:rsidRDefault="0046562B" w:rsidP="00B326D2">
            <w:pPr>
              <w:pStyle w:val="Bodyjustified"/>
              <w:rPr>
                <w:rFonts w:ascii="Courier" w:hAnsi="Courier"/>
                <w:color w:val="auto"/>
              </w:rPr>
            </w:pPr>
            <w:r w:rsidRPr="00177640">
              <w:rPr>
                <w:color w:val="auto"/>
              </w:rPr>
              <w:t>R0XX</w:t>
            </w:r>
          </w:p>
        </w:tc>
        <w:tc>
          <w:tcPr>
            <w:tcW w:w="4253" w:type="dxa"/>
            <w:tcBorders>
              <w:top w:val="nil"/>
              <w:bottom w:val="nil"/>
            </w:tcBorders>
          </w:tcPr>
          <w:p w:rsidR="0046562B" w:rsidRPr="00177640" w:rsidRDefault="0046562B" w:rsidP="00B326D2">
            <w:pPr>
              <w:pStyle w:val="Bodyjustified"/>
              <w:jc w:val="left"/>
              <w:rPr>
                <w:rFonts w:ascii="Courier" w:hAnsi="Courier"/>
                <w:color w:val="auto"/>
              </w:rPr>
            </w:pPr>
          </w:p>
        </w:tc>
      </w:tr>
      <w:tr w:rsidR="0046562B" w:rsidRPr="00177640" w:rsidTr="00B326D2">
        <w:trPr>
          <w:trHeight w:val="227"/>
        </w:trPr>
        <w:tc>
          <w:tcPr>
            <w:tcW w:w="2835" w:type="dxa"/>
            <w:vMerge/>
          </w:tcPr>
          <w:p w:rsidR="0046562B" w:rsidRPr="00177640" w:rsidRDefault="0046562B" w:rsidP="00B326D2">
            <w:pPr>
              <w:pStyle w:val="Bodyjustified"/>
              <w:jc w:val="left"/>
              <w:rPr>
                <w:rFonts w:ascii="Courier" w:hAnsi="Courier"/>
                <w:color w:val="auto"/>
              </w:rPr>
            </w:pPr>
          </w:p>
        </w:tc>
        <w:tc>
          <w:tcPr>
            <w:tcW w:w="2126" w:type="dxa"/>
          </w:tcPr>
          <w:p w:rsidR="0046562B" w:rsidRPr="00177640" w:rsidRDefault="0046562B" w:rsidP="00B326D2">
            <w:pPr>
              <w:pStyle w:val="Bodyjustified"/>
              <w:rPr>
                <w:color w:val="auto"/>
              </w:rPr>
            </w:pPr>
            <w:r w:rsidRPr="00177640">
              <w:rPr>
                <w:color w:val="auto"/>
              </w:rPr>
              <w:t>0.XXX</w:t>
            </w:r>
          </w:p>
        </w:tc>
        <w:tc>
          <w:tcPr>
            <w:tcW w:w="1417" w:type="dxa"/>
          </w:tcPr>
          <w:p w:rsidR="0046562B" w:rsidRPr="00177640" w:rsidRDefault="0046562B" w:rsidP="00B326D2">
            <w:pPr>
              <w:pStyle w:val="Bodyjustified"/>
              <w:rPr>
                <w:rFonts w:ascii="Courier" w:hAnsi="Courier"/>
                <w:color w:val="auto"/>
              </w:rPr>
            </w:pPr>
            <w:r w:rsidRPr="00177640">
              <w:rPr>
                <w:color w:val="auto"/>
              </w:rPr>
              <w:t>RXXX</w:t>
            </w:r>
          </w:p>
        </w:tc>
        <w:tc>
          <w:tcPr>
            <w:tcW w:w="4253" w:type="dxa"/>
            <w:tcBorders>
              <w:top w:val="nil"/>
              <w:bottom w:val="nil"/>
            </w:tcBorders>
          </w:tcPr>
          <w:p w:rsidR="0046562B" w:rsidRPr="00177640" w:rsidRDefault="0046562B" w:rsidP="00B326D2">
            <w:pPr>
              <w:pStyle w:val="Bodyjustified"/>
              <w:jc w:val="left"/>
              <w:rPr>
                <w:rFonts w:ascii="Courier" w:hAnsi="Courier"/>
                <w:color w:val="auto"/>
              </w:rPr>
            </w:pPr>
          </w:p>
        </w:tc>
      </w:tr>
      <w:tr w:rsidR="0046562B" w:rsidRPr="00177640" w:rsidTr="00B326D2">
        <w:trPr>
          <w:trHeight w:val="227"/>
        </w:trPr>
        <w:tc>
          <w:tcPr>
            <w:tcW w:w="2835" w:type="dxa"/>
            <w:vMerge/>
          </w:tcPr>
          <w:p w:rsidR="0046562B" w:rsidRPr="00177640" w:rsidRDefault="0046562B" w:rsidP="00B326D2">
            <w:pPr>
              <w:pStyle w:val="Bodyjustified"/>
              <w:jc w:val="left"/>
              <w:rPr>
                <w:rFonts w:ascii="Courier" w:hAnsi="Courier"/>
                <w:color w:val="auto"/>
              </w:rPr>
            </w:pPr>
          </w:p>
        </w:tc>
        <w:tc>
          <w:tcPr>
            <w:tcW w:w="2126" w:type="dxa"/>
          </w:tcPr>
          <w:p w:rsidR="0046562B" w:rsidRPr="00177640" w:rsidRDefault="0046562B" w:rsidP="00B326D2">
            <w:pPr>
              <w:pStyle w:val="Bodyjustified"/>
              <w:rPr>
                <w:color w:val="auto"/>
              </w:rPr>
            </w:pPr>
            <w:r w:rsidRPr="00177640">
              <w:rPr>
                <w:color w:val="auto"/>
              </w:rPr>
              <w:t>X.XX</w:t>
            </w:r>
          </w:p>
        </w:tc>
        <w:tc>
          <w:tcPr>
            <w:tcW w:w="1417" w:type="dxa"/>
          </w:tcPr>
          <w:p w:rsidR="0046562B" w:rsidRPr="00177640" w:rsidRDefault="0046562B" w:rsidP="00B326D2">
            <w:pPr>
              <w:pStyle w:val="Bodyjustified"/>
              <w:rPr>
                <w:rFonts w:ascii="Courier" w:hAnsi="Courier"/>
                <w:color w:val="auto"/>
              </w:rPr>
            </w:pPr>
            <w:r w:rsidRPr="00177640">
              <w:rPr>
                <w:color w:val="auto"/>
              </w:rPr>
              <w:t>XRXX</w:t>
            </w:r>
          </w:p>
        </w:tc>
        <w:tc>
          <w:tcPr>
            <w:tcW w:w="4253" w:type="dxa"/>
            <w:tcBorders>
              <w:top w:val="nil"/>
            </w:tcBorders>
          </w:tcPr>
          <w:p w:rsidR="0046562B" w:rsidRPr="00177640" w:rsidRDefault="0046562B" w:rsidP="00B326D2">
            <w:pPr>
              <w:pStyle w:val="Bodyjustified"/>
              <w:jc w:val="left"/>
              <w:rPr>
                <w:rFonts w:ascii="Courier" w:hAnsi="Courier"/>
                <w:color w:val="auto"/>
              </w:rPr>
            </w:pPr>
          </w:p>
        </w:tc>
      </w:tr>
      <w:tr w:rsidR="0046562B" w:rsidRPr="00177640" w:rsidTr="00B326D2">
        <w:trPr>
          <w:trHeight w:val="283"/>
        </w:trPr>
        <w:tc>
          <w:tcPr>
            <w:tcW w:w="2835" w:type="dxa"/>
          </w:tcPr>
          <w:p w:rsidR="0046562B" w:rsidRPr="00177640" w:rsidRDefault="0046562B" w:rsidP="00B326D2">
            <w:pPr>
              <w:pStyle w:val="Bodyjustified"/>
              <w:jc w:val="left"/>
              <w:rPr>
                <w:color w:val="auto"/>
              </w:rPr>
            </w:pPr>
            <w:r w:rsidRPr="00177640">
              <w:rPr>
                <w:color w:val="auto"/>
              </w:rPr>
              <w:t>Component Type Variants and Range of Components</w:t>
            </w:r>
          </w:p>
        </w:tc>
        <w:tc>
          <w:tcPr>
            <w:tcW w:w="7796" w:type="dxa"/>
            <w:gridSpan w:val="3"/>
          </w:tcPr>
          <w:p w:rsidR="0046562B" w:rsidRPr="00177640" w:rsidRDefault="0046562B" w:rsidP="00B326D2">
            <w:pPr>
              <w:pStyle w:val="Bodyjustified"/>
              <w:jc w:val="left"/>
              <w:rPr>
                <w:color w:val="auto"/>
              </w:rPr>
            </w:pPr>
            <w:r w:rsidRPr="00177640">
              <w:rPr>
                <w:color w:val="auto"/>
              </w:rPr>
              <w:t>For all Variants</w:t>
            </w:r>
            <w:r>
              <w:rPr>
                <w:color w:val="auto"/>
              </w:rPr>
              <w:t>,</w:t>
            </w:r>
            <w:r w:rsidRPr="00177640">
              <w:rPr>
                <w:color w:val="auto"/>
              </w:rPr>
              <w:t xml:space="preserve"> additional resistance values, R</w:t>
            </w:r>
            <w:r w:rsidRPr="00177640">
              <w:rPr>
                <w:color w:val="auto"/>
                <w:vertAlign w:val="subscript"/>
              </w:rPr>
              <w:t>n</w:t>
            </w:r>
            <w:r w:rsidRPr="00177640">
              <w:rPr>
                <w:color w:val="auto"/>
              </w:rPr>
              <w:t xml:space="preserve">, from within the specified Resistance Range, but outside of the specified Value Series, are available upon request from </w:t>
            </w:r>
            <w:proofErr w:type="spellStart"/>
            <w:r w:rsidRPr="00177640">
              <w:rPr>
                <w:color w:val="auto"/>
              </w:rPr>
              <w:t>Isabellenhuette</w:t>
            </w:r>
            <w:proofErr w:type="spellEnd"/>
            <w:r w:rsidRPr="00177640">
              <w:rPr>
                <w:color w:val="auto"/>
              </w:rPr>
              <w:t>.</w:t>
            </w:r>
          </w:p>
        </w:tc>
      </w:tr>
      <w:tr w:rsidR="0046562B" w:rsidRPr="00177640" w:rsidTr="00B326D2">
        <w:trPr>
          <w:trHeight w:val="283"/>
        </w:trPr>
        <w:tc>
          <w:tcPr>
            <w:tcW w:w="2835" w:type="dxa"/>
          </w:tcPr>
          <w:p w:rsidR="0046562B" w:rsidRPr="00177640" w:rsidRDefault="0046562B" w:rsidP="00B326D2">
            <w:pPr>
              <w:pStyle w:val="Bodyjustified"/>
              <w:jc w:val="left"/>
              <w:rPr>
                <w:color w:val="auto"/>
              </w:rPr>
            </w:pPr>
            <w:r w:rsidRPr="00177640">
              <w:rPr>
                <w:color w:val="auto"/>
              </w:rPr>
              <w:t>Marking of Tolerance on Resistance Value</w:t>
            </w:r>
          </w:p>
        </w:tc>
        <w:tc>
          <w:tcPr>
            <w:tcW w:w="7796" w:type="dxa"/>
            <w:gridSpan w:val="3"/>
          </w:tcPr>
          <w:p w:rsidR="0046562B" w:rsidRPr="00177640" w:rsidRDefault="0046562B" w:rsidP="00B326D2">
            <w:pPr>
              <w:pStyle w:val="Bodyjustified"/>
              <w:jc w:val="left"/>
              <w:rPr>
                <w:color w:val="auto"/>
              </w:rPr>
            </w:pPr>
            <w:r w:rsidRPr="00177640">
              <w:rPr>
                <w:color w:val="auto"/>
              </w:rPr>
              <w:t>The tolerance on resistance value may be marked using the actual numeric value (0.5% or 1%) instead of the specified code letter.</w:t>
            </w:r>
          </w:p>
        </w:tc>
      </w:tr>
      <w:tr w:rsidR="0046562B" w:rsidRPr="00177640" w:rsidTr="00B326D2">
        <w:trPr>
          <w:trHeight w:val="283"/>
        </w:trPr>
        <w:tc>
          <w:tcPr>
            <w:tcW w:w="2835" w:type="dxa"/>
          </w:tcPr>
          <w:p w:rsidR="0046562B" w:rsidRPr="00177640" w:rsidRDefault="0046562B" w:rsidP="00B326D2">
            <w:pPr>
              <w:pStyle w:val="Bodyjustified"/>
              <w:jc w:val="left"/>
              <w:rPr>
                <w:color w:val="auto"/>
              </w:rPr>
            </w:pPr>
            <w:r w:rsidRPr="00177640">
              <w:rPr>
                <w:color w:val="auto"/>
              </w:rPr>
              <w:t>Marking of Traceability Information</w:t>
            </w:r>
          </w:p>
        </w:tc>
        <w:tc>
          <w:tcPr>
            <w:tcW w:w="7796" w:type="dxa"/>
            <w:gridSpan w:val="3"/>
          </w:tcPr>
          <w:p w:rsidR="0046562B" w:rsidRDefault="0046562B" w:rsidP="00B326D2">
            <w:pPr>
              <w:pStyle w:val="Bodyjustified"/>
              <w:spacing w:after="40"/>
              <w:jc w:val="left"/>
              <w:rPr>
                <w:color w:val="auto"/>
              </w:rPr>
            </w:pPr>
            <w:r w:rsidRPr="00177640">
              <w:rPr>
                <w:color w:val="auto"/>
              </w:rPr>
              <w:t>The manufacturing date code may be marked using a three-digit code where the first digit is a letter to indicate the year of manufacture in accordance with the 20-year cycle code per Table 10a of IEC Publication No. 60062, and the last two digits indicate the week of the year (i.e. 01 to 52) during which encapsulation or the final production process occurred.</w:t>
            </w:r>
          </w:p>
          <w:p w:rsidR="0046562B" w:rsidRPr="00177640" w:rsidRDefault="0046562B" w:rsidP="00B326D2">
            <w:pPr>
              <w:pStyle w:val="Bodyjustified"/>
              <w:jc w:val="left"/>
              <w:rPr>
                <w:color w:val="auto"/>
              </w:rPr>
            </w:pPr>
            <w:r w:rsidRPr="00177640">
              <w:rPr>
                <w:color w:val="auto"/>
              </w:rPr>
              <w:t xml:space="preserve">For example: </w:t>
            </w:r>
            <w:r w:rsidRPr="001946B8">
              <w:rPr>
                <w:color w:val="auto"/>
                <w:highlight w:val="yellow"/>
              </w:rPr>
              <w:t>H</w:t>
            </w:r>
            <w:r w:rsidRPr="00177640">
              <w:rPr>
                <w:color w:val="auto"/>
              </w:rPr>
              <w:t xml:space="preserve">41 for week 41 of </w:t>
            </w:r>
            <w:r w:rsidRPr="001946B8">
              <w:rPr>
                <w:color w:val="auto"/>
                <w:highlight w:val="yellow"/>
              </w:rPr>
              <w:t>2016</w:t>
            </w:r>
          </w:p>
        </w:tc>
      </w:tr>
    </w:tbl>
    <w:p w:rsidR="00621888" w:rsidRDefault="00621888"/>
    <w:sectPr w:rsidR="00621888" w:rsidSect="0046562B">
      <w:headerReference w:type="default" r:id="rId8"/>
      <w:pgSz w:w="11906" w:h="16838"/>
      <w:pgMar w:top="1440" w:right="1440" w:bottom="1440" w:left="28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733" w:rsidRDefault="00531733" w:rsidP="00195178">
      <w:pPr>
        <w:spacing w:after="0" w:line="240" w:lineRule="auto"/>
      </w:pPr>
      <w:r>
        <w:separator/>
      </w:r>
    </w:p>
  </w:endnote>
  <w:endnote w:type="continuationSeparator" w:id="0">
    <w:p w:rsidR="00531733" w:rsidRDefault="00531733" w:rsidP="00195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733" w:rsidRDefault="00531733" w:rsidP="00195178">
      <w:pPr>
        <w:spacing w:after="0" w:line="240" w:lineRule="auto"/>
      </w:pPr>
      <w:r>
        <w:separator/>
      </w:r>
    </w:p>
  </w:footnote>
  <w:footnote w:type="continuationSeparator" w:id="0">
    <w:p w:rsidR="00531733" w:rsidRDefault="00531733" w:rsidP="001951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178" w:rsidRPr="00195178" w:rsidRDefault="00195178" w:rsidP="00330EC2">
    <w:pPr>
      <w:pStyle w:val="Header"/>
      <w:jc w:val="center"/>
      <w:rPr>
        <w:b/>
        <w:sz w:val="28"/>
        <w:szCs w:val="28"/>
      </w:rPr>
    </w:pPr>
    <w:r w:rsidRPr="00195178">
      <w:rPr>
        <w:b/>
        <w:sz w:val="28"/>
        <w:szCs w:val="28"/>
      </w:rPr>
      <w:t>DCR894 Attachment - 4001028 New APPENDIX 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866DC9"/>
    <w:multiLevelType w:val="hybridMultilevel"/>
    <w:tmpl w:val="0A9A17C8"/>
    <w:lvl w:ilvl="0" w:tplc="7C08B91A">
      <w:start w:val="1"/>
      <w:numFmt w:val="lowerLett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1AF5FAA"/>
    <w:multiLevelType w:val="hybridMultilevel"/>
    <w:tmpl w:val="B40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62B"/>
    <w:rsid w:val="001946B8"/>
    <w:rsid w:val="00195178"/>
    <w:rsid w:val="00330EC2"/>
    <w:rsid w:val="0046562B"/>
    <w:rsid w:val="00531733"/>
    <w:rsid w:val="00621888"/>
    <w:rsid w:val="00DD4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62B"/>
    <w:pPr>
      <w:spacing w:after="240"/>
      <w:ind w:left="1418" w:right="-57"/>
      <w:jc w:val="both"/>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justified">
    <w:name w:val="Body justified"/>
    <w:link w:val="BodyjustifiedChar"/>
    <w:uiPriority w:val="99"/>
    <w:rsid w:val="0046562B"/>
    <w:pPr>
      <w:widowControl w:val="0"/>
      <w:suppressAutoHyphens/>
      <w:autoSpaceDE w:val="0"/>
      <w:autoSpaceDN w:val="0"/>
      <w:adjustRightInd w:val="0"/>
      <w:spacing w:after="0" w:line="240" w:lineRule="atLeast"/>
      <w:jc w:val="center"/>
    </w:pPr>
    <w:rPr>
      <w:rFonts w:ascii="Arial" w:eastAsia="Arial" w:hAnsi="Arial" w:cs="Helvetica"/>
      <w:color w:val="000000"/>
      <w:w w:val="0"/>
      <w:sz w:val="20"/>
      <w:szCs w:val="20"/>
    </w:rPr>
  </w:style>
  <w:style w:type="character" w:customStyle="1" w:styleId="BodyjustifiedChar">
    <w:name w:val="Body justified Char"/>
    <w:link w:val="Bodyjustified"/>
    <w:uiPriority w:val="99"/>
    <w:rsid w:val="0046562B"/>
    <w:rPr>
      <w:rFonts w:ascii="Arial" w:eastAsia="Arial" w:hAnsi="Arial" w:cs="Helvetica"/>
      <w:color w:val="000000"/>
      <w:w w:val="0"/>
      <w:sz w:val="20"/>
      <w:szCs w:val="20"/>
    </w:rPr>
  </w:style>
  <w:style w:type="paragraph" w:customStyle="1" w:styleId="Title2">
    <w:name w:val="Title 2"/>
    <w:basedOn w:val="Normal"/>
    <w:link w:val="Title2Char"/>
    <w:qFormat/>
    <w:rsid w:val="0046562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6562B"/>
    <w:rPr>
      <w:rFonts w:ascii="Arial" w:eastAsia="Times New Roman" w:hAnsi="Arial" w:cs="Times New Roman"/>
      <w:caps/>
      <w:sz w:val="20"/>
      <w:szCs w:val="20"/>
      <w:u w:val="single"/>
    </w:rPr>
  </w:style>
  <w:style w:type="paragraph" w:customStyle="1" w:styleId="AppendixTitle">
    <w:name w:val="Appendix Title"/>
    <w:basedOn w:val="Normal"/>
    <w:qFormat/>
    <w:rsid w:val="0046562B"/>
    <w:pPr>
      <w:keepNext/>
      <w:keepLines/>
      <w:spacing w:after="0"/>
      <w:jc w:val="center"/>
    </w:pPr>
    <w:rPr>
      <w:b/>
      <w:caps/>
      <w:spacing w:val="5"/>
      <w:u w:val="single"/>
    </w:rPr>
  </w:style>
  <w:style w:type="table" w:customStyle="1" w:styleId="TableGrid1">
    <w:name w:val="Table Grid1"/>
    <w:basedOn w:val="TableNormal"/>
    <w:next w:val="TableGrid"/>
    <w:uiPriority w:val="59"/>
    <w:rsid w:val="0046562B"/>
    <w:pPr>
      <w:spacing w:after="0" w:line="240" w:lineRule="auto"/>
    </w:pPr>
    <w:rPr>
      <w:rFonts w:ascii="Arial" w:eastAsia="Arial"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6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1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178"/>
    <w:rPr>
      <w:rFonts w:ascii="Arial" w:eastAsia="Times New Roman" w:hAnsi="Arial" w:cs="Times New Roman"/>
      <w:sz w:val="20"/>
      <w:szCs w:val="20"/>
    </w:rPr>
  </w:style>
  <w:style w:type="paragraph" w:styleId="Footer">
    <w:name w:val="footer"/>
    <w:basedOn w:val="Normal"/>
    <w:link w:val="FooterChar"/>
    <w:uiPriority w:val="99"/>
    <w:unhideWhenUsed/>
    <w:rsid w:val="001951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178"/>
    <w:rPr>
      <w:rFonts w:ascii="Arial" w:eastAsia="Times New Roman" w:hAnsi="Arial"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62B"/>
    <w:pPr>
      <w:spacing w:after="240"/>
      <w:ind w:left="1418" w:right="-57"/>
      <w:jc w:val="both"/>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justified">
    <w:name w:val="Body justified"/>
    <w:link w:val="BodyjustifiedChar"/>
    <w:uiPriority w:val="99"/>
    <w:rsid w:val="0046562B"/>
    <w:pPr>
      <w:widowControl w:val="0"/>
      <w:suppressAutoHyphens/>
      <w:autoSpaceDE w:val="0"/>
      <w:autoSpaceDN w:val="0"/>
      <w:adjustRightInd w:val="0"/>
      <w:spacing w:after="0" w:line="240" w:lineRule="atLeast"/>
      <w:jc w:val="center"/>
    </w:pPr>
    <w:rPr>
      <w:rFonts w:ascii="Arial" w:eastAsia="Arial" w:hAnsi="Arial" w:cs="Helvetica"/>
      <w:color w:val="000000"/>
      <w:w w:val="0"/>
      <w:sz w:val="20"/>
      <w:szCs w:val="20"/>
    </w:rPr>
  </w:style>
  <w:style w:type="character" w:customStyle="1" w:styleId="BodyjustifiedChar">
    <w:name w:val="Body justified Char"/>
    <w:link w:val="Bodyjustified"/>
    <w:uiPriority w:val="99"/>
    <w:rsid w:val="0046562B"/>
    <w:rPr>
      <w:rFonts w:ascii="Arial" w:eastAsia="Arial" w:hAnsi="Arial" w:cs="Helvetica"/>
      <w:color w:val="000000"/>
      <w:w w:val="0"/>
      <w:sz w:val="20"/>
      <w:szCs w:val="20"/>
    </w:rPr>
  </w:style>
  <w:style w:type="paragraph" w:customStyle="1" w:styleId="Title2">
    <w:name w:val="Title 2"/>
    <w:basedOn w:val="Normal"/>
    <w:link w:val="Title2Char"/>
    <w:qFormat/>
    <w:rsid w:val="0046562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6562B"/>
    <w:rPr>
      <w:rFonts w:ascii="Arial" w:eastAsia="Times New Roman" w:hAnsi="Arial" w:cs="Times New Roman"/>
      <w:caps/>
      <w:sz w:val="20"/>
      <w:szCs w:val="20"/>
      <w:u w:val="single"/>
    </w:rPr>
  </w:style>
  <w:style w:type="paragraph" w:customStyle="1" w:styleId="AppendixTitle">
    <w:name w:val="Appendix Title"/>
    <w:basedOn w:val="Normal"/>
    <w:qFormat/>
    <w:rsid w:val="0046562B"/>
    <w:pPr>
      <w:keepNext/>
      <w:keepLines/>
      <w:spacing w:after="0"/>
      <w:jc w:val="center"/>
    </w:pPr>
    <w:rPr>
      <w:b/>
      <w:caps/>
      <w:spacing w:val="5"/>
      <w:u w:val="single"/>
    </w:rPr>
  </w:style>
  <w:style w:type="table" w:customStyle="1" w:styleId="TableGrid1">
    <w:name w:val="Table Grid1"/>
    <w:basedOn w:val="TableNormal"/>
    <w:next w:val="TableGrid"/>
    <w:uiPriority w:val="59"/>
    <w:rsid w:val="0046562B"/>
    <w:pPr>
      <w:spacing w:after="0" w:line="240" w:lineRule="auto"/>
    </w:pPr>
    <w:rPr>
      <w:rFonts w:ascii="Arial" w:eastAsia="Arial"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6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1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178"/>
    <w:rPr>
      <w:rFonts w:ascii="Arial" w:eastAsia="Times New Roman" w:hAnsi="Arial" w:cs="Times New Roman"/>
      <w:sz w:val="20"/>
      <w:szCs w:val="20"/>
    </w:rPr>
  </w:style>
  <w:style w:type="paragraph" w:styleId="Footer">
    <w:name w:val="footer"/>
    <w:basedOn w:val="Normal"/>
    <w:link w:val="FooterChar"/>
    <w:uiPriority w:val="99"/>
    <w:unhideWhenUsed/>
    <w:rsid w:val="001951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178"/>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450</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5</cp:revision>
  <dcterms:created xsi:type="dcterms:W3CDTF">2016-01-12T14:32:00Z</dcterms:created>
  <dcterms:modified xsi:type="dcterms:W3CDTF">2016-01-12T15:09:00Z</dcterms:modified>
</cp:coreProperties>
</file>